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0"/>
        <w:tblW w:w="158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056"/>
        <w:gridCol w:w="7024"/>
        <w:gridCol w:w="442"/>
        <w:gridCol w:w="471"/>
        <w:gridCol w:w="1127"/>
        <w:gridCol w:w="1284"/>
        <w:gridCol w:w="787"/>
        <w:gridCol w:w="723"/>
        <w:gridCol w:w="732"/>
        <w:gridCol w:w="840"/>
        <w:gridCol w:w="4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7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内容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合计(元)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服务期\工期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标段1 勘察设计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胡家湾35kV变电站2#主变增容工程勘察设计</w:t>
            </w:r>
          </w:p>
        </w:tc>
        <w:tc>
          <w:tcPr>
            <w:tcW w:w="70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胡家湾35千伏变电站1号主变扩建工程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1.主变规模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已建1台主变，容量为 20MVA，本期新建1台20MVA主变，电压等级35/10kV。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2.出线规模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35kV出线：规划4回，已建2回，至塔尔召110kV变电站和满都呼35kV变电站各1回，本期无新增出线。35kV出线：规划4回，已建2回，本期无新增出线。10kV出线：规划12回，已建6回，本期建设6回出线。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3.无功补偿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本站现10kV侧Ⅱ段母线装设1组电容器，容量（600+900）kvar。本期在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10kV侧Ⅰ段母线新增1组电容器，容量（1500+1500）kvar。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4.电气设备要求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35kV、10kV设备短路电流水平按31.5kA选择。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5.其它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本期主变10kV侧预留消弧线圈位置。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168929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168929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2023-10-08至2023-12-10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30kV及以上基建工程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康巴什北区 110kV变电站2号主变扩建工程勘察设计</w:t>
            </w:r>
          </w:p>
        </w:tc>
        <w:tc>
          <w:tcPr>
            <w:tcW w:w="70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（一）主变规模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主变远期规划2×63MVA，电压等级110/10kV；现有1×63MVA；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本期扩建1×63MVA（搬迁设备）。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（二）出线规模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110kV远期规划2回，现有2回，本期不新增出线。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10kV远期规划24回，现有12回，本期新增出线12回。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（三）无功补偿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现有主变10kV侧已装设1套（2400+4800）kVar 电容器，本期新增主变10kV侧配置1套（4000+6000）kVar电容器 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（四）电气参数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本期扩建主变采用有载调压变，电压分接头为110±8×1.25%/10.5kV。扩建主变为搬迁设备，其阻抗电压值为19.61%，满足与现有1号主变并列运行的要求。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110kV、10kV设备短路电流水平分别按40kA、31.5kA选择。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（五）中性点接地方式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110kV侧中性点经隔离开关直接接地，10kV侧中性点经小电阻接地。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145880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145880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2023-10-08至2023-12-10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30kV及以上基建工程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塔然高勒110kV变35kV变间隔扩建工程勘查设计</w:t>
            </w:r>
          </w:p>
        </w:tc>
        <w:tc>
          <w:tcPr>
            <w:tcW w:w="70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（一）塔然高勒 110kV 变电站 35kV 间隔扩建工程本期在塔然高勒 110kV 变电站扩建 4 回 35kV 出线间隔，其中至塔然高勒煤矿项目 2 回，占用 35kV 侧东北起第二、七（向东南方向出线）出线间隔；至中核项目 II 回线，占用35kV 侧东北起第六（向东南方向出线）出线间隔；将现有塔泊线倒至本期新扩建东北起第七（向西北方向出线）出线间隔，中核项目 I 回线占用原塔泊线（东北起第三）出线间隔。35kV设备短路电流水平按 31.5kA 选择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（二）线路工程35kV 塔泊线切改工程，新建电缆线路路径长度 0.18km，拆除单回路架空线路 0.03km。电缆采用为 ZC-YJY 23 -26/35-3×240 mm 2 交联聚乙烯电力电缆。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221702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221702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2023-10-08至2023-12-10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30kV及以上基建工程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536511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标段2 监理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胡家湾35kV变电站2#主变增容工程监理服务采购</w:t>
            </w:r>
          </w:p>
        </w:tc>
        <w:tc>
          <w:tcPr>
            <w:tcW w:w="70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（一）胡家湾35千伏变电站1号主变扩建工程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1.主变规模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已建1台主变，容量为 20MVA，本期新建1台20MVA主变，电压等级 35/10kV。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2.出线规模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35kV出线：规划4回，已建2回，至塔尔召110kV变电站和满都呼35kV变电站各1回，本期无新增出线。35kV出线：规划4回，已建2回，本期无新增出线。10kV出线：规划12回，已建6回，本期建设6回出线。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3.无功补偿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本站现10kV侧Ⅱ段母线装设1组电容器，容量（600+900）kvar。本期在10kV 侧Ⅰ段母线新增1组电容器，容量（1500+1500）kvar。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4.电气设备要求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35kV、10kV设备短路电流水平按31.5kA选择。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5.其它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本期主变10kV侧预留消弧线圈位置。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106457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106457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2023-10-08至2023-12-10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30kV及以上基建工程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康巴什北区 110kV变电站2号主变扩建工程监理</w:t>
            </w:r>
          </w:p>
        </w:tc>
        <w:tc>
          <w:tcPr>
            <w:tcW w:w="70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（一）主变规模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主变远期规划2×63MVA，电压等级110/10kV；现有1×63MVA；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本期扩建1×63MVA（搬迁设备）。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（二）出线规模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110kV远期规划2回，现有2回，本期不新增出线。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10kV远期规划24回，现有12回，本期新增出线12回。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（三）无功补偿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现有主变10kV侧已装设1套（2400+4800）kVar 电容器，本期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新增主变10kV侧配置1套（4000+6000）kVar电容器 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（四）电气参数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本期扩建主变采用有载调压变，电压分接头为110±8×1.25%/10.5kV。扩建主变为搬迁设备，其阻抗电压值为19.61%，满足与现有1号主变并列运行的要求。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110kV、10kV设备短路电流水平分别按40kA、31.5kA选择。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（五）中性点接地方式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110kV侧中性点经隔离开关直接接地，10kV侧中性点经小电阻接地。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60043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60043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2023-10-08至2023-12-10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30kV及以上基建工程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塔然高勒110kV变35kV变间隔扩建工程监理</w:t>
            </w:r>
          </w:p>
        </w:tc>
        <w:tc>
          <w:tcPr>
            <w:tcW w:w="702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（一）塔然高勒 110kV 变电站 35kV 间隔扩建工程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本期在塔然高勒 110kV 变电站扩建 4 回 35kV 出线间隔，其中至塔然高勒煤矿项目 2 回，占用 35kV 侧东北起第二、七（向东南方向出线）出线间隔；至中核项目 II 回线，占用35kV 侧东北起第六（向东南方向出线）出线间隔；将现有塔泊线倒至本期新扩建东北起第七（向西北方向出线）出线间隔，中核项目 I 回线占用原塔泊线（东北起第三）出线间隔。35kV设备短路电流水平按 31.5kA 选择。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（二）线路工程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35kV 塔泊线切改工程，新建电缆线路路径长度 0.18km，拆除单回路架空线路 0.03km。电缆采用为 ZC-YJY 23 -26/35-3×240 mm 2 交联聚乙烯电力电缆。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51553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51553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2023-10-08至2023-12-10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30kV及以上基建工程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8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218053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17"/>
        <w:spacing w:line="360" w:lineRule="auto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803" w:right="1440" w:bottom="1803" w:left="1440" w:header="851" w:footer="992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9" w:charSpace="0"/>
        </w:sectPr>
      </w:pPr>
    </w:p>
    <w:p>
      <w:pPr>
        <w:spacing w:line="360" w:lineRule="auto"/>
        <w:jc w:val="left"/>
        <w:rPr>
          <w:rFonts w:hint="eastAsia" w:ascii="仿宋" w:hAnsi="仿宋" w:eastAsia="仿宋" w:cs="仿宋"/>
          <w:b/>
          <w:sz w:val="24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《响应真实性承诺书》</w:t>
      </w:r>
    </w:p>
    <w:p>
      <w:pPr>
        <w:pStyle w:val="9"/>
        <w:spacing w:line="360" w:lineRule="auto"/>
        <w:rPr>
          <w:rFonts w:hint="eastAsia" w:ascii="仿宋" w:hAnsi="仿宋" w:eastAsia="仿宋" w:cs="仿宋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内蒙古电力（集团）有限责任公司鄂尔多斯供电分公司物资供应处：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我公司参与贵公司组织采购的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4"/>
          <w:highlight w:val="none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wordWrap w:val="0"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 xml:space="preserve">        年        月        日</w:t>
            </w:r>
          </w:p>
        </w:tc>
      </w:tr>
    </w:tbl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br w:type="page"/>
      </w:r>
    </w:p>
    <w:p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附件：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2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法定代表人资格证明</w:t>
      </w:r>
    </w:p>
    <w:p>
      <w:pPr>
        <w:autoSpaceDE w:val="0"/>
        <w:autoSpaceDN w:val="0"/>
        <w:spacing w:line="360" w:lineRule="auto"/>
        <w:jc w:val="center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（适用于无代理人的情况）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pacing w:val="6"/>
          <w:sz w:val="24"/>
          <w:highlight w:val="none"/>
        </w:rPr>
        <w:t>企业（供应商）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名称：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单位性质：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pacing w:val="6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pacing w:val="6"/>
          <w:sz w:val="24"/>
          <w:highlight w:val="none"/>
        </w:rPr>
        <w:t>地    址：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成立时间：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月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日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经营期限：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姓名：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性别：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年龄：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职务：</w:t>
      </w:r>
    </w:p>
    <w:p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系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的法定代表人。</w:t>
      </w:r>
    </w:p>
    <w:p>
      <w:pPr>
        <w:autoSpaceDE w:val="0"/>
        <w:autoSpaceDN w:val="0"/>
        <w:spacing w:line="360" w:lineRule="auto"/>
        <w:jc w:val="left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0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4140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360" w:firstLineChars="150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特此证明。</w:t>
      </w:r>
    </w:p>
    <w:p>
      <w:pPr>
        <w:autoSpaceDE w:val="0"/>
        <w:autoSpaceDN w:val="0"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供应商：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（加盖单位公章）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5160" w:firstLineChars="2150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年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月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日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br w:type="page"/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法人代表授权委托书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（供应商名称）的法定代表人（单位负责人），现委托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(项目编号)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(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标段)响应文件、签订合同和处理有关事宜，其法律后果由我方承担。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。（可参考：自本委托书签署之日起至响应文件有效期满）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3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ind w:left="0" w:leftChars="0" w:firstLine="0" w:firstLineChars="0"/>
                              <w:jc w:val="both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4" o:spid="_x0000_s1026" o:spt="2" style="position:absolute;left:0pt;margin-left:211.9pt;margin-top:8.55pt;height:89.4pt;width:186.75pt;z-index:251659264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Bd7FHc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ind w:left="0" w:leftChars="0" w:firstLine="0" w:firstLineChars="0"/>
                        <w:jc w:val="both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ind w:left="0" w:leftChars="0" w:firstLine="0" w:firstLineChars="0"/>
                              <w:jc w:val="both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0288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ind w:left="0" w:leftChars="0" w:firstLine="0" w:firstLineChars="0"/>
                        <w:jc w:val="both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8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6" o:spid="_x0000_s1026" o:spt="2" style="position:absolute;left:0pt;margin-left:214.2pt;margin-top:18.65pt;height:77.4pt;width:186.75pt;z-index:251661312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Cn5RdD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18.45pt;margin-top:18.65pt;height:80.05pt;width:186.75pt;z-index:251662336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EeuSCM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法定代表人（单位负责人）：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年   月   日</w:t>
      </w:r>
    </w:p>
    <w:p>
      <w:pPr>
        <w:pStyle w:val="9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>
      <w:pPr>
        <w:spacing w:line="360" w:lineRule="auto"/>
        <w:rPr>
          <w:rFonts w:hint="eastAsia" w:ascii="仿宋" w:hAnsi="仿宋" w:eastAsia="仿宋" w:cs="仿宋"/>
          <w:b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（一）信用中国查询方式或下载信用报告</w:t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1、国家信息中心主办“信用中国”网站地址：</w:t>
      </w:r>
      <w:r>
        <w:rPr>
          <w:rFonts w:hint="eastAsia" w:ascii="仿宋" w:hAnsi="仿宋" w:eastAsia="仿宋" w:cs="仿宋"/>
          <w:highlight w:val="none"/>
        </w:rPr>
        <w:fldChar w:fldCharType="begin"/>
      </w:r>
      <w:r>
        <w:rPr>
          <w:rFonts w:hint="eastAsia" w:ascii="仿宋" w:hAnsi="仿宋" w:eastAsia="仿宋" w:cs="仿宋"/>
          <w:highlight w:val="none"/>
        </w:rPr>
        <w:instrText xml:space="preserve"> HYPERLINK "http://www.creditchina.gov.cn打开网页后，点击" </w:instrText>
      </w:r>
      <w:r>
        <w:rPr>
          <w:rFonts w:hint="eastAsia" w:ascii="仿宋" w:hAnsi="仿宋" w:eastAsia="仿宋" w:cs="仿宋"/>
          <w:highlight w:val="none"/>
        </w:rPr>
        <w:fldChar w:fldCharType="separate"/>
      </w:r>
      <w:r>
        <w:rPr>
          <w:rFonts w:hint="eastAsia" w:ascii="仿宋" w:hAnsi="仿宋" w:eastAsia="仿宋" w:cs="仿宋"/>
          <w:sz w:val="24"/>
          <w:highlight w:val="none"/>
        </w:rPr>
        <w:t>http://www.creditchina.gov.cn打开网页后，点击“信用服务”。</w:t>
      </w:r>
      <w:r>
        <w:rPr>
          <w:rFonts w:hint="eastAsia" w:ascii="仿宋" w:hAnsi="仿宋" w:eastAsia="仿宋" w:cs="仿宋"/>
          <w:sz w:val="24"/>
          <w:highlight w:val="none"/>
        </w:rPr>
        <w:fldChar w:fldCharType="end"/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801995" cy="2755900"/>
            <wp:effectExtent l="0" t="0" r="444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199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2、在以下页面中点击“失信被执行人”</w:t>
      </w:r>
    </w:p>
    <w:p>
      <w:pPr>
        <w:spacing w:line="360" w:lineRule="auto"/>
        <w:rPr>
          <w:rFonts w:hint="eastAsia" w:ascii="仿宋" w:hAnsi="仿宋" w:eastAsia="仿宋" w:cs="仿宋"/>
          <w:kern w:val="0"/>
          <w:sz w:val="24"/>
          <w:highlight w:val="none"/>
        </w:rPr>
        <w:sectPr>
          <w:footerReference r:id="rId5" w:type="default"/>
          <w:pgSz w:w="11905" w:h="16838"/>
          <w:pgMar w:top="1701" w:right="1417" w:bottom="1701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855970" cy="3321050"/>
            <wp:effectExtent l="0" t="0" r="11430" b="1270"/>
            <wp:docPr id="4" name="图片 3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3、在查询窗口输入查询企业名称，将查询结果截图</w:t>
      </w:r>
    </w:p>
    <w:p>
      <w:pPr>
        <w:spacing w:line="360" w:lineRule="auto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highlight w:val="none"/>
        </w:rPr>
        <w:drawing>
          <wp:inline distT="0" distB="0" distL="114300" distR="114300">
            <wp:extent cx="5653405" cy="3240405"/>
            <wp:effectExtent l="0" t="0" r="635" b="571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（二）国家企业信用信息公示系统查询方式</w:t>
      </w:r>
    </w:p>
    <w:p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1、登录“国家企业信用信息公示系统”网站地址：</w:t>
      </w:r>
      <w:r>
        <w:rPr>
          <w:rFonts w:hint="eastAsia" w:ascii="仿宋" w:hAnsi="仿宋" w:eastAsia="仿宋" w:cs="仿宋"/>
          <w:highlight w:val="none"/>
        </w:rPr>
        <w:fldChar w:fldCharType="begin"/>
      </w:r>
      <w:r>
        <w:rPr>
          <w:rFonts w:hint="eastAsia" w:ascii="仿宋" w:hAnsi="仿宋" w:eastAsia="仿宋" w:cs="仿宋"/>
          <w:highlight w:val="none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highlight w:val="none"/>
        </w:rPr>
        <w:fldChar w:fldCharType="separate"/>
      </w:r>
      <w:r>
        <w:rPr>
          <w:rFonts w:hint="eastAsia" w:ascii="仿宋" w:hAnsi="仿宋" w:eastAsia="仿宋" w:cs="仿宋"/>
          <w:sz w:val="24"/>
          <w:highlight w:val="none"/>
        </w:rPr>
        <w:t>http://www.gsxt.gov.cn/index.html</w:t>
      </w:r>
      <w:r>
        <w:rPr>
          <w:rFonts w:hint="eastAsia" w:ascii="仿宋" w:hAnsi="仿宋" w:eastAsia="仿宋" w:cs="仿宋"/>
          <w:sz w:val="24"/>
          <w:highlight w:val="none"/>
        </w:rPr>
        <w:fldChar w:fldCharType="end"/>
      </w:r>
      <w:r>
        <w:rPr>
          <w:rFonts w:hint="eastAsia" w:ascii="仿宋" w:hAnsi="仿宋" w:eastAsia="仿宋" w:cs="仿宋"/>
          <w:sz w:val="24"/>
          <w:highlight w:val="none"/>
        </w:rPr>
        <w:t>，在查询窗口输入企业名称，点击查询。</w:t>
      </w:r>
    </w:p>
    <w:p>
      <w:pPr>
        <w:spacing w:line="360" w:lineRule="auto"/>
        <w:jc w:val="center"/>
        <w:rPr>
          <w:rFonts w:hint="eastAsia" w:ascii="仿宋" w:hAnsi="仿宋" w:eastAsia="仿宋" w:cs="仿宋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570855" cy="3018155"/>
            <wp:effectExtent l="0" t="0" r="6985" b="146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4"/>
          <w:highlight w:val="none"/>
        </w:rPr>
        <w:br w:type="page"/>
      </w:r>
    </w:p>
    <w:p>
      <w:pPr>
        <w:spacing w:line="360" w:lineRule="auto"/>
        <w:jc w:val="both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2、点击进入企业界面。</w:t>
      </w:r>
    </w:p>
    <w:p>
      <w:pPr>
        <w:spacing w:line="360" w:lineRule="auto"/>
        <w:ind w:right="-1029" w:rightChars="-490"/>
        <w:jc w:val="left"/>
        <w:rPr>
          <w:rFonts w:hint="eastAsia" w:ascii="仿宋" w:hAnsi="仿宋" w:eastAsia="仿宋" w:cs="仿宋"/>
          <w:sz w:val="24"/>
          <w:highlight w:val="none"/>
        </w:rPr>
      </w:pPr>
    </w:p>
    <w:p>
      <w:pPr>
        <w:spacing w:line="360" w:lineRule="auto"/>
        <w:ind w:right="-1029" w:rightChars="-490"/>
        <w:rPr>
          <w:rFonts w:hint="eastAsia" w:ascii="仿宋" w:hAnsi="仿宋" w:eastAsia="仿宋" w:cs="仿宋"/>
          <w:bCs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713095" cy="2900680"/>
            <wp:effectExtent l="0" t="0" r="1905" b="1016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3095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-1029" w:rightChars="-490"/>
        <w:rPr>
          <w:rFonts w:hint="eastAsia" w:ascii="仿宋" w:hAnsi="仿宋" w:eastAsia="仿宋" w:cs="仿宋"/>
          <w:sz w:val="24"/>
          <w:highlight w:val="none"/>
        </w:rPr>
      </w:pPr>
    </w:p>
    <w:p>
      <w:pPr>
        <w:spacing w:line="360" w:lineRule="auto"/>
        <w:ind w:right="-1029" w:rightChars="-490"/>
        <w:jc w:val="left"/>
        <w:rPr>
          <w:rFonts w:hint="eastAsia" w:ascii="仿宋" w:hAnsi="仿宋" w:eastAsia="仿宋" w:cs="仿宋"/>
          <w:b/>
          <w:bCs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3、</w:t>
      </w:r>
      <w:r>
        <w:rPr>
          <w:rFonts w:hint="eastAsia" w:ascii="仿宋" w:hAnsi="仿宋" w:eastAsia="仿宋" w:cs="仿宋"/>
          <w:bCs/>
          <w:sz w:val="24"/>
          <w:highlight w:val="none"/>
        </w:rPr>
        <w:t>点击“列入严重违法失信企业名单（黑名单）信息”，查询后截图。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highlight w:val="none"/>
        </w:rPr>
        <w:sectPr>
          <w:footerReference r:id="rId8" w:type="first"/>
          <w:headerReference r:id="rId6" w:type="default"/>
          <w:footerReference r:id="rId7" w:type="default"/>
          <w:pgSz w:w="11905" w:h="16838"/>
          <w:pgMar w:top="1701" w:right="1417" w:bottom="1701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sz w:val="24"/>
          <w:highlight w:val="none"/>
        </w:rPr>
        <w:drawing>
          <wp:inline distT="0" distB="0" distL="114300" distR="114300">
            <wp:extent cx="5711825" cy="2983230"/>
            <wp:effectExtent l="0" t="0" r="3175" b="381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（三）中国裁判文书网查询方式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、供应商查询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（2）在全文检索中输入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“行贿罪”</w:t>
      </w:r>
      <w:r>
        <w:rPr>
          <w:rFonts w:hint="eastAsia" w:ascii="仿宋" w:hAnsi="仿宋" w:eastAsia="仿宋" w:cs="仿宋"/>
          <w:bCs/>
          <w:sz w:val="24"/>
          <w:highlight w:val="none"/>
        </w:rPr>
        <w:t>，并选择“全文”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（3）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在“当事人”处输入供应商全称；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（4）在裁判日期选择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  <w:highlight w:val="none"/>
        </w:rPr>
        <w:t>点击检索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（5）截取成功截图如下（须截取到左上角的时间）。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drawing>
          <wp:inline distT="0" distB="0" distL="114300" distR="114300">
            <wp:extent cx="5488305" cy="3270885"/>
            <wp:effectExtent l="0" t="0" r="0" b="5715"/>
            <wp:docPr id="31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 descr="截图"/>
                    <pic:cNvPicPr>
                      <a:picLocks noChangeAspect="1"/>
                    </pic:cNvPicPr>
                  </pic:nvPicPr>
                  <pic:blipFill>
                    <a:blip r:embed="rId16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br w:type="page"/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、企业法定代表人查询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4"/>
          <w:highlight w:val="none"/>
        </w:rPr>
        <w:t>）在裁判日期选择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  <w:highlight w:val="none"/>
        </w:rPr>
        <w:t>点击检索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4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  <w:highlight w:val="none"/>
        </w:rPr>
        <w:t>点击检索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；</w:t>
      </w:r>
    </w:p>
    <w:p>
      <w:pPr>
        <w:spacing w:before="161" w:beforeLines="50" w:after="161" w:afterLines="50" w:line="360" w:lineRule="auto"/>
        <w:rPr>
          <w:rFonts w:hint="eastAsia" w:ascii="仿宋" w:hAnsi="仿宋" w:eastAsia="仿宋" w:cs="仿宋"/>
          <w:bCs/>
          <w:sz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highlight w:val="none"/>
        </w:rPr>
        <w:t>（</w:t>
      </w:r>
      <w:r>
        <w:rPr>
          <w:rFonts w:hint="eastAsia" w:ascii="仿宋" w:hAnsi="仿宋" w:eastAsia="仿宋" w:cs="仿宋"/>
          <w:bCs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24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sz w:val="24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1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 descr="图片1_副本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rFonts w:hint="eastAsi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40C030"/>
    <w:multiLevelType w:val="singleLevel"/>
    <w:tmpl w:val="9B40C03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3NmU3MzIwOGRmOWM4YzFmYTZmZTZkMmI2NzhkMGUifQ=="/>
  </w:docVars>
  <w:rsids>
    <w:rsidRoot w:val="27147DE6"/>
    <w:rsid w:val="00317B30"/>
    <w:rsid w:val="08AC4EF1"/>
    <w:rsid w:val="0D2F609F"/>
    <w:rsid w:val="1F465D64"/>
    <w:rsid w:val="27147DE6"/>
    <w:rsid w:val="28F81C8A"/>
    <w:rsid w:val="34B34216"/>
    <w:rsid w:val="437F07A8"/>
    <w:rsid w:val="5415015A"/>
    <w:rsid w:val="59977FCF"/>
    <w:rsid w:val="5EBD58C4"/>
    <w:rsid w:val="66625B85"/>
    <w:rsid w:val="7138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styleId="4">
    <w:name w:val="Body Text Indent"/>
    <w:basedOn w:val="1"/>
    <w:next w:val="5"/>
    <w:qFormat/>
    <w:uiPriority w:val="0"/>
    <w:pPr>
      <w:spacing w:line="360" w:lineRule="auto"/>
      <w:ind w:left="42" w:leftChars="20"/>
    </w:pPr>
    <w:rPr>
      <w:sz w:val="24"/>
      <w:szCs w:val="18"/>
    </w:rPr>
  </w:style>
  <w:style w:type="paragraph" w:customStyle="1" w:styleId="5">
    <w:name w:val="p16"/>
    <w:basedOn w:val="1"/>
    <w:next w:val="6"/>
    <w:qFormat/>
    <w:uiPriority w:val="0"/>
    <w:pPr>
      <w:widowControl/>
      <w:spacing w:line="360" w:lineRule="auto"/>
      <w:ind w:firstLine="420"/>
    </w:pPr>
    <w:rPr>
      <w:kern w:val="0"/>
      <w:sz w:val="24"/>
    </w:rPr>
  </w:style>
  <w:style w:type="paragraph" w:styleId="6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7">
    <w:name w:val="footer"/>
    <w:basedOn w:val="1"/>
    <w:next w:val="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4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/>
      <w:sz w:val="21"/>
      <w:szCs w:val="24"/>
    </w:rPr>
  </w:style>
  <w:style w:type="table" w:styleId="11">
    <w:name w:val="Table Grid"/>
    <w:basedOn w:val="10"/>
    <w:unhideWhenUsed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3">
    <w:name w:val="BodyText1I2"/>
    <w:basedOn w:val="14"/>
    <w:qFormat/>
    <w:uiPriority w:val="0"/>
    <w:pPr>
      <w:spacing w:line="240" w:lineRule="auto"/>
      <w:ind w:firstLine="420"/>
    </w:pPr>
  </w:style>
  <w:style w:type="paragraph" w:customStyle="1" w:styleId="14">
    <w:name w:val="BodyTextIndent"/>
    <w:basedOn w:val="1"/>
    <w:qFormat/>
    <w:uiPriority w:val="0"/>
    <w:pPr>
      <w:spacing w:after="120" w:line="360" w:lineRule="auto"/>
      <w:ind w:left="420" w:leftChars="200" w:firstLine="1041" w:firstLineChars="200"/>
      <w:textAlignment w:val="baseline"/>
    </w:pPr>
  </w:style>
  <w:style w:type="character" w:customStyle="1" w:styleId="15">
    <w:name w:val="font5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6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7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1116</Words>
  <Characters>1232</Characters>
  <Lines>0</Lines>
  <Paragraphs>0</Paragraphs>
  <TotalTime>0</TotalTime>
  <ScaleCrop>false</ScaleCrop>
  <LinksUpToDate>false</LinksUpToDate>
  <CharactersWithSpaces>1805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2023-04-07T07:14:00Z</dcterms:created>
  <dc:creator>鄂尔多斯草原高宇 ✨15047795745</dc:creator>
  <cp:lastModifiedBy>鄂尔多斯草原高宇 ✨15047795745</cp:lastModifiedBy>
  <dcterms:modified xsi:type="dcterms:W3CDTF">2023-09-01T02:55:19Z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FEF4DBD0D96F49C4BF297FE7F1D45AFC_13</vt:lpwstr>
  </property>
</Properties>
</file>